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Since it was formed, in 1948, up to 2010, more or less, the NHS has had an annual funding uplift of around 4%pa.</w:t>
      </w:r>
    </w:p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Since 1948 the number of beds has halved and the number of patients treated, doubled.</w:t>
      </w:r>
    </w:p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In the spending window 2010 to 2020 the NHS funding increase is just under 2%pa.</w:t>
      </w:r>
    </w:p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In the last ten years bed stays have halved.</w:t>
      </w:r>
    </w:p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The top 10 EU countries health-spend is 10.4% of GDP.  We are 9.8%.</w:t>
      </w:r>
    </w:p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If we matched EU average spending we would have about £23bn more than current spending plans.</w:t>
      </w:r>
    </w:p>
    <w:p w:rsidR="001C394A" w:rsidRDefault="001C394A" w:rsidP="001C394A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90"/>
        </w:rPr>
      </w:pPr>
      <w:r>
        <w:rPr>
          <w:rFonts w:ascii="Verdana" w:hAnsi="Verdana"/>
          <w:color w:val="000090"/>
        </w:rPr>
        <w:t>Performance targets have been dumped; the NHS can no longer deliver them... it's too busy... social care is knackered.</w:t>
      </w:r>
    </w:p>
    <w:p w:rsidR="006E067B" w:rsidRDefault="001C394A" w:rsidP="001C394A">
      <w:r>
        <w:rPr>
          <w:rFonts w:ascii="Verdana" w:hAnsi="Verdana"/>
          <w:color w:val="000090"/>
        </w:rPr>
        <w:t>A 1p hike in income tax generates about £5bn.</w:t>
      </w:r>
      <w:bookmarkStart w:id="0" w:name="_GoBack"/>
      <w:bookmarkEnd w:id="0"/>
    </w:p>
    <w:sectPr w:rsidR="006E0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B2196"/>
    <w:multiLevelType w:val="multilevel"/>
    <w:tmpl w:val="3AB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4A"/>
    <w:rsid w:val="001C394A"/>
    <w:rsid w:val="006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1CAC4-A82D-41C4-8E0C-D9242E84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Lloyd</dc:creator>
  <cp:keywords/>
  <dc:description/>
  <cp:lastModifiedBy>Tony Lloyd</cp:lastModifiedBy>
  <cp:revision>1</cp:revision>
  <dcterms:created xsi:type="dcterms:W3CDTF">2018-04-03T08:33:00Z</dcterms:created>
  <dcterms:modified xsi:type="dcterms:W3CDTF">2018-04-03T08:34:00Z</dcterms:modified>
</cp:coreProperties>
</file>